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9151" w14:textId="77777777" w:rsidR="00D67B22" w:rsidRDefault="00D67B22">
      <w:pPr>
        <w:pStyle w:val="Letterbody"/>
      </w:pPr>
    </w:p>
    <w:p w14:paraId="45A78133" w14:textId="77777777" w:rsidR="002E658F" w:rsidRDefault="002E658F">
      <w:pPr>
        <w:pStyle w:val="Letterbody"/>
      </w:pPr>
    </w:p>
    <w:p w14:paraId="3667A5D1" w14:textId="77777777" w:rsidR="009B29CA" w:rsidRPr="003B2EA3" w:rsidRDefault="009B29CA" w:rsidP="009B29CA">
      <w:pPr>
        <w:pStyle w:val="Heading1"/>
        <w:rPr>
          <w:rFonts w:ascii="Times New Roman" w:hAnsi="Times New Roman" w:cs="Times New Roman"/>
          <w:sz w:val="40"/>
          <w:szCs w:val="40"/>
        </w:rPr>
      </w:pPr>
      <w:r w:rsidRPr="003B2EA3">
        <w:rPr>
          <w:rFonts w:ascii="Times New Roman" w:hAnsi="Times New Roman" w:cs="Times New Roman"/>
          <w:sz w:val="40"/>
          <w:szCs w:val="40"/>
        </w:rPr>
        <w:t>YOU ARE INVITED TO ATTEND THE</w:t>
      </w:r>
    </w:p>
    <w:p w14:paraId="415107C9" w14:textId="77777777" w:rsidR="009B29CA" w:rsidRPr="003B2EA3" w:rsidRDefault="009B29CA" w:rsidP="009B29CA">
      <w:pPr>
        <w:pStyle w:val="Heading1"/>
        <w:rPr>
          <w:rFonts w:ascii="Times New Roman" w:hAnsi="Times New Roman" w:cs="Times New Roman"/>
          <w:sz w:val="40"/>
          <w:szCs w:val="40"/>
        </w:rPr>
      </w:pPr>
      <w:r w:rsidRPr="003B2EA3">
        <w:rPr>
          <w:rFonts w:ascii="Times New Roman" w:hAnsi="Times New Roman" w:cs="Times New Roman"/>
          <w:sz w:val="40"/>
          <w:szCs w:val="40"/>
        </w:rPr>
        <w:t xml:space="preserve"> DEFENSE OF THE DOCTORAL </w:t>
      </w:r>
    </w:p>
    <w:p w14:paraId="5CA48116" w14:textId="77777777" w:rsidR="009B29CA" w:rsidRPr="003B2EA3" w:rsidRDefault="009B29CA" w:rsidP="009B29CA">
      <w:pPr>
        <w:pStyle w:val="Heading1"/>
        <w:rPr>
          <w:rFonts w:ascii="Times New Roman" w:hAnsi="Times New Roman" w:cs="Times New Roman"/>
        </w:rPr>
      </w:pPr>
      <w:r w:rsidRPr="003B2EA3">
        <w:rPr>
          <w:rFonts w:ascii="Times New Roman" w:hAnsi="Times New Roman" w:cs="Times New Roman"/>
          <w:sz w:val="40"/>
          <w:szCs w:val="40"/>
        </w:rPr>
        <w:t>DISSERTATION</w:t>
      </w:r>
    </w:p>
    <w:p w14:paraId="2DF90561" w14:textId="77777777" w:rsidR="009B29CA" w:rsidRPr="003B2EA3" w:rsidRDefault="009B29CA" w:rsidP="009B29CA">
      <w:pPr>
        <w:pStyle w:val="Default"/>
        <w:rPr>
          <w:rFonts w:ascii="Times New Roman" w:hAnsi="Times New Roman" w:cs="Times New Roman"/>
          <w:sz w:val="36"/>
          <w:szCs w:val="36"/>
        </w:rPr>
      </w:pPr>
    </w:p>
    <w:p w14:paraId="67C09614" w14:textId="04C88CF2" w:rsidR="00FF6916" w:rsidRPr="007F1739" w:rsidRDefault="00135ECE" w:rsidP="00FF6916">
      <w:pPr>
        <w:jc w:val="center"/>
        <w:rPr>
          <w:sz w:val="36"/>
          <w:szCs w:val="36"/>
        </w:rPr>
      </w:pPr>
      <w:r w:rsidRPr="002251B9">
        <w:rPr>
          <w:b/>
          <w:bCs/>
          <w:sz w:val="36"/>
          <w:szCs w:val="36"/>
        </w:rPr>
        <w:t>“</w:t>
      </w:r>
      <w:r w:rsidR="00E64773" w:rsidRPr="00E64773">
        <w:rPr>
          <w:b/>
          <w:bCs/>
          <w:sz w:val="36"/>
          <w:szCs w:val="36"/>
        </w:rPr>
        <w:t xml:space="preserve">Post-transcriptional </w:t>
      </w:r>
      <w:r w:rsidR="00E64773">
        <w:rPr>
          <w:b/>
          <w:bCs/>
          <w:sz w:val="36"/>
          <w:szCs w:val="36"/>
        </w:rPr>
        <w:t>g</w:t>
      </w:r>
      <w:r w:rsidR="00E64773" w:rsidRPr="00E64773">
        <w:rPr>
          <w:b/>
          <w:bCs/>
          <w:sz w:val="36"/>
          <w:szCs w:val="36"/>
        </w:rPr>
        <w:t xml:space="preserve">ene </w:t>
      </w:r>
      <w:r w:rsidR="00E64773">
        <w:rPr>
          <w:b/>
          <w:bCs/>
          <w:sz w:val="36"/>
          <w:szCs w:val="36"/>
        </w:rPr>
        <w:t>r</w:t>
      </w:r>
      <w:r w:rsidR="00E64773" w:rsidRPr="00E64773">
        <w:rPr>
          <w:b/>
          <w:bCs/>
          <w:sz w:val="36"/>
          <w:szCs w:val="36"/>
        </w:rPr>
        <w:t xml:space="preserve">egulation of Bone Morphogenetic Protein (BMP)-2 during </w:t>
      </w:r>
      <w:r w:rsidR="00E64773">
        <w:rPr>
          <w:b/>
          <w:bCs/>
          <w:sz w:val="36"/>
          <w:szCs w:val="36"/>
        </w:rPr>
        <w:t>e</w:t>
      </w:r>
      <w:r w:rsidR="00E64773" w:rsidRPr="00E64773">
        <w:rPr>
          <w:b/>
          <w:bCs/>
          <w:sz w:val="36"/>
          <w:szCs w:val="36"/>
        </w:rPr>
        <w:t xml:space="preserve">mbryogenesis and </w:t>
      </w:r>
      <w:r w:rsidR="00E64773">
        <w:rPr>
          <w:b/>
          <w:bCs/>
          <w:sz w:val="36"/>
          <w:szCs w:val="36"/>
        </w:rPr>
        <w:t>c</w:t>
      </w:r>
      <w:r w:rsidR="00E64773" w:rsidRPr="00E64773">
        <w:rPr>
          <w:b/>
          <w:bCs/>
          <w:sz w:val="36"/>
          <w:szCs w:val="36"/>
        </w:rPr>
        <w:t xml:space="preserve">ardiovascular </w:t>
      </w:r>
      <w:r w:rsidR="00E64773">
        <w:rPr>
          <w:b/>
          <w:bCs/>
          <w:sz w:val="36"/>
          <w:szCs w:val="36"/>
        </w:rPr>
        <w:t>c</w:t>
      </w:r>
      <w:r w:rsidR="00E64773" w:rsidRPr="00E64773">
        <w:rPr>
          <w:b/>
          <w:bCs/>
          <w:sz w:val="36"/>
          <w:szCs w:val="36"/>
        </w:rPr>
        <w:t>alcification</w:t>
      </w:r>
      <w:r w:rsidR="00FF6916">
        <w:rPr>
          <w:b/>
          <w:bCs/>
          <w:color w:val="000000"/>
          <w:sz w:val="36"/>
          <w:szCs w:val="36"/>
          <w:shd w:val="clear" w:color="auto" w:fill="FFFFFF"/>
        </w:rPr>
        <w:t>”</w:t>
      </w:r>
    </w:p>
    <w:p w14:paraId="2195C736" w14:textId="77777777" w:rsidR="00135ECE" w:rsidRDefault="00135ECE" w:rsidP="00FF6916">
      <w:pPr>
        <w:spacing w:line="480" w:lineRule="auto"/>
        <w:rPr>
          <w:sz w:val="32"/>
          <w:szCs w:val="32"/>
        </w:rPr>
      </w:pPr>
    </w:p>
    <w:p w14:paraId="0A0822FC" w14:textId="77777777" w:rsidR="00135ECE" w:rsidRPr="002251B9" w:rsidRDefault="00135ECE" w:rsidP="00135ECE">
      <w:pPr>
        <w:spacing w:line="480" w:lineRule="auto"/>
        <w:jc w:val="center"/>
        <w:rPr>
          <w:sz w:val="32"/>
          <w:szCs w:val="32"/>
        </w:rPr>
      </w:pPr>
      <w:r w:rsidRPr="002251B9">
        <w:rPr>
          <w:sz w:val="32"/>
          <w:szCs w:val="32"/>
        </w:rPr>
        <w:t xml:space="preserve">by </w:t>
      </w:r>
    </w:p>
    <w:p w14:paraId="7532D225" w14:textId="1CD3CD53" w:rsidR="00135ECE" w:rsidRPr="002251B9" w:rsidRDefault="00E64773" w:rsidP="00135ECE">
      <w:pPr>
        <w:jc w:val="center"/>
        <w:rPr>
          <w:sz w:val="32"/>
          <w:szCs w:val="32"/>
        </w:rPr>
      </w:pPr>
      <w:r>
        <w:rPr>
          <w:sz w:val="32"/>
          <w:szCs w:val="32"/>
        </w:rPr>
        <w:t>Tapan A. Shah</w:t>
      </w:r>
    </w:p>
    <w:p w14:paraId="39B4C2EA" w14:textId="77777777" w:rsidR="00135ECE" w:rsidRPr="002251B9" w:rsidRDefault="00135ECE" w:rsidP="00135ECE">
      <w:pPr>
        <w:rPr>
          <w:sz w:val="32"/>
          <w:szCs w:val="32"/>
        </w:rPr>
      </w:pPr>
    </w:p>
    <w:p w14:paraId="66A64D05" w14:textId="77777777" w:rsidR="00135ECE" w:rsidRPr="002251B9" w:rsidRDefault="00135ECE" w:rsidP="00135ECE">
      <w:pPr>
        <w:jc w:val="center"/>
        <w:rPr>
          <w:color w:val="000000"/>
          <w:sz w:val="32"/>
          <w:szCs w:val="32"/>
        </w:rPr>
      </w:pPr>
      <w:r w:rsidRPr="002251B9">
        <w:rPr>
          <w:sz w:val="32"/>
          <w:szCs w:val="32"/>
        </w:rPr>
        <w:t xml:space="preserve">Molecular Biology, Genetics &amp; Cancer </w:t>
      </w:r>
      <w:r>
        <w:rPr>
          <w:sz w:val="32"/>
          <w:szCs w:val="32"/>
        </w:rPr>
        <w:t>Track</w:t>
      </w:r>
    </w:p>
    <w:p w14:paraId="18110552" w14:textId="77777777" w:rsidR="005A43E2" w:rsidRDefault="005A43E2" w:rsidP="00135ECE">
      <w:pPr>
        <w:jc w:val="center"/>
        <w:rPr>
          <w:sz w:val="32"/>
          <w:szCs w:val="32"/>
        </w:rPr>
      </w:pPr>
    </w:p>
    <w:p w14:paraId="6005E8CA" w14:textId="43BD1C21" w:rsidR="005A43E2" w:rsidRDefault="005A43E2" w:rsidP="00135ECE">
      <w:pPr>
        <w:jc w:val="center"/>
        <w:rPr>
          <w:sz w:val="32"/>
          <w:szCs w:val="32"/>
        </w:rPr>
      </w:pPr>
      <w:r>
        <w:rPr>
          <w:sz w:val="32"/>
          <w:szCs w:val="32"/>
        </w:rPr>
        <w:t>M.</w:t>
      </w:r>
      <w:r w:rsidR="00E64773">
        <w:rPr>
          <w:sz w:val="32"/>
          <w:szCs w:val="32"/>
        </w:rPr>
        <w:t>Sc</w:t>
      </w:r>
      <w:r>
        <w:rPr>
          <w:sz w:val="32"/>
          <w:szCs w:val="32"/>
        </w:rPr>
        <w:t>. 201</w:t>
      </w:r>
      <w:r w:rsidR="00642985">
        <w:rPr>
          <w:sz w:val="32"/>
          <w:szCs w:val="32"/>
        </w:rPr>
        <w:t>1</w:t>
      </w:r>
      <w:r>
        <w:rPr>
          <w:sz w:val="32"/>
          <w:szCs w:val="32"/>
        </w:rPr>
        <w:t xml:space="preserve">, </w:t>
      </w:r>
      <w:r w:rsidR="00E64773">
        <w:rPr>
          <w:sz w:val="32"/>
          <w:szCs w:val="32"/>
        </w:rPr>
        <w:t>Saurashtra University</w:t>
      </w:r>
      <w:r>
        <w:rPr>
          <w:sz w:val="32"/>
          <w:szCs w:val="32"/>
        </w:rPr>
        <w:t xml:space="preserve">, </w:t>
      </w:r>
      <w:r w:rsidR="00E64773">
        <w:rPr>
          <w:sz w:val="32"/>
          <w:szCs w:val="32"/>
        </w:rPr>
        <w:t>India</w:t>
      </w:r>
    </w:p>
    <w:p w14:paraId="465D6706" w14:textId="0B96A9D7" w:rsidR="00135ECE" w:rsidRPr="002251B9" w:rsidRDefault="005A43E2" w:rsidP="00135ECE">
      <w:pPr>
        <w:jc w:val="center"/>
        <w:rPr>
          <w:sz w:val="32"/>
          <w:szCs w:val="32"/>
        </w:rPr>
      </w:pPr>
      <w:r>
        <w:rPr>
          <w:sz w:val="32"/>
          <w:szCs w:val="32"/>
        </w:rPr>
        <w:t>B.</w:t>
      </w:r>
      <w:r w:rsidR="00E64773">
        <w:rPr>
          <w:sz w:val="32"/>
          <w:szCs w:val="32"/>
        </w:rPr>
        <w:t>Sc</w:t>
      </w:r>
      <w:r w:rsidR="00135ECE" w:rsidRPr="002251B9">
        <w:rPr>
          <w:sz w:val="32"/>
          <w:szCs w:val="32"/>
        </w:rPr>
        <w:t>. 20</w:t>
      </w:r>
      <w:r>
        <w:rPr>
          <w:sz w:val="32"/>
          <w:szCs w:val="32"/>
        </w:rPr>
        <w:t>0</w:t>
      </w:r>
      <w:r w:rsidR="00642985">
        <w:rPr>
          <w:sz w:val="32"/>
          <w:szCs w:val="32"/>
        </w:rPr>
        <w:t>9</w:t>
      </w:r>
      <w:r w:rsidR="00135ECE" w:rsidRPr="002251B9">
        <w:rPr>
          <w:sz w:val="32"/>
          <w:szCs w:val="32"/>
        </w:rPr>
        <w:t xml:space="preserve">, </w:t>
      </w:r>
      <w:r w:rsidR="00E64773">
        <w:rPr>
          <w:sz w:val="32"/>
          <w:szCs w:val="32"/>
        </w:rPr>
        <w:t>St. Xavier’s College</w:t>
      </w:r>
      <w:r w:rsidR="00FF6916">
        <w:rPr>
          <w:sz w:val="32"/>
          <w:szCs w:val="32"/>
        </w:rPr>
        <w:t>,</w:t>
      </w:r>
      <w:r w:rsidR="00E64773">
        <w:rPr>
          <w:sz w:val="32"/>
          <w:szCs w:val="32"/>
        </w:rPr>
        <w:t xml:space="preserve"> Ahmedabad, India</w:t>
      </w:r>
    </w:p>
    <w:p w14:paraId="08461B5D" w14:textId="77777777" w:rsidR="00135ECE" w:rsidRPr="004A2B71" w:rsidRDefault="00135ECE" w:rsidP="00135ECE">
      <w:pPr>
        <w:jc w:val="center"/>
        <w:rPr>
          <w:sz w:val="28"/>
        </w:rPr>
      </w:pPr>
    </w:p>
    <w:p w14:paraId="04946B85" w14:textId="77777777" w:rsidR="00135ECE" w:rsidRDefault="00135ECE" w:rsidP="00135ECE">
      <w:pPr>
        <w:ind w:hanging="360"/>
        <w:jc w:val="center"/>
        <w:rPr>
          <w:sz w:val="28"/>
          <w:szCs w:val="28"/>
        </w:rPr>
      </w:pPr>
    </w:p>
    <w:p w14:paraId="3262BEF2" w14:textId="594DC15A" w:rsidR="00D67B22" w:rsidRDefault="005A43E2" w:rsidP="00135ECE">
      <w:pPr>
        <w:ind w:hanging="360"/>
        <w:jc w:val="center"/>
        <w:rPr>
          <w:sz w:val="28"/>
          <w:szCs w:val="32"/>
        </w:rPr>
      </w:pPr>
      <w:r>
        <w:rPr>
          <w:sz w:val="28"/>
          <w:szCs w:val="28"/>
        </w:rPr>
        <w:t>Thesis Advisor</w:t>
      </w:r>
      <w:r w:rsidR="00135ECE">
        <w:rPr>
          <w:sz w:val="28"/>
          <w:szCs w:val="28"/>
        </w:rPr>
        <w:t xml:space="preserve">:  </w:t>
      </w:r>
      <w:r w:rsidR="00E64773">
        <w:rPr>
          <w:sz w:val="28"/>
          <w:szCs w:val="28"/>
        </w:rPr>
        <w:t>Melissa B. Rogers</w:t>
      </w:r>
      <w:r w:rsidR="00C76A58" w:rsidRPr="00C76A58">
        <w:rPr>
          <w:sz w:val="28"/>
          <w:szCs w:val="28"/>
        </w:rPr>
        <w:t xml:space="preserve">, Ph.D. </w:t>
      </w:r>
    </w:p>
    <w:p w14:paraId="50F98052" w14:textId="16FF921C" w:rsidR="00135ECE" w:rsidRDefault="00E64773" w:rsidP="00135ECE">
      <w:pPr>
        <w:ind w:hanging="360"/>
        <w:jc w:val="center"/>
        <w:rPr>
          <w:sz w:val="28"/>
          <w:szCs w:val="32"/>
        </w:rPr>
      </w:pPr>
      <w:r w:rsidRPr="00E64773">
        <w:rPr>
          <w:sz w:val="28"/>
          <w:szCs w:val="32"/>
        </w:rPr>
        <w:t>Associate Professor</w:t>
      </w:r>
      <w:r w:rsidR="00135ECE">
        <w:rPr>
          <w:sz w:val="28"/>
          <w:szCs w:val="32"/>
        </w:rPr>
        <w:t xml:space="preserve">                     </w:t>
      </w:r>
    </w:p>
    <w:p w14:paraId="57496B74" w14:textId="53E3DFA4" w:rsidR="00135ECE" w:rsidRDefault="006D46D4" w:rsidP="00135ECE">
      <w:pPr>
        <w:jc w:val="center"/>
        <w:rPr>
          <w:szCs w:val="22"/>
        </w:rPr>
      </w:pPr>
      <w:r>
        <w:rPr>
          <w:sz w:val="28"/>
          <w:szCs w:val="28"/>
        </w:rPr>
        <w:t>Department of</w:t>
      </w:r>
      <w:r w:rsidRPr="006D46D4">
        <w:rPr>
          <w:sz w:val="28"/>
          <w:szCs w:val="28"/>
        </w:rPr>
        <w:t xml:space="preserve"> </w:t>
      </w:r>
      <w:r w:rsidR="00E64773" w:rsidRPr="00E64773">
        <w:rPr>
          <w:sz w:val="28"/>
          <w:szCs w:val="28"/>
        </w:rPr>
        <w:t>Microbiology, Biochemistry &amp; Molecular Genetics</w:t>
      </w:r>
    </w:p>
    <w:p w14:paraId="72A04A56" w14:textId="77777777" w:rsidR="00A15FB2" w:rsidRDefault="00A15FB2" w:rsidP="00135ECE">
      <w:pPr>
        <w:jc w:val="center"/>
        <w:rPr>
          <w:szCs w:val="22"/>
        </w:rPr>
      </w:pPr>
    </w:p>
    <w:p w14:paraId="025D6ED4" w14:textId="77777777" w:rsidR="00135ECE" w:rsidRDefault="00135ECE" w:rsidP="00135ECE">
      <w:pPr>
        <w:jc w:val="center"/>
        <w:rPr>
          <w:sz w:val="28"/>
        </w:rPr>
      </w:pPr>
    </w:p>
    <w:p w14:paraId="3A7CC721" w14:textId="48AA626E" w:rsidR="00A15FB2" w:rsidRDefault="00E64773" w:rsidP="00135ECE">
      <w:pPr>
        <w:jc w:val="center"/>
        <w:rPr>
          <w:sz w:val="24"/>
          <w:szCs w:val="24"/>
        </w:rPr>
      </w:pPr>
      <w:r>
        <w:rPr>
          <w:sz w:val="24"/>
          <w:szCs w:val="24"/>
        </w:rPr>
        <w:t>Tuesday</w:t>
      </w:r>
      <w:r w:rsidR="00FF6916">
        <w:rPr>
          <w:sz w:val="24"/>
          <w:szCs w:val="24"/>
        </w:rPr>
        <w:t xml:space="preserve">, </w:t>
      </w:r>
      <w:r>
        <w:rPr>
          <w:sz w:val="24"/>
          <w:szCs w:val="24"/>
        </w:rPr>
        <w:t>July 10</w:t>
      </w:r>
      <w:r w:rsidR="006D46D4">
        <w:rPr>
          <w:sz w:val="24"/>
          <w:szCs w:val="24"/>
        </w:rPr>
        <w:t>, 2018</w:t>
      </w:r>
    </w:p>
    <w:p w14:paraId="794D049A" w14:textId="43C391F7" w:rsidR="00135ECE" w:rsidRPr="00A15FB2" w:rsidRDefault="006D46D4" w:rsidP="00135ECE">
      <w:pPr>
        <w:jc w:val="center"/>
        <w:rPr>
          <w:sz w:val="24"/>
          <w:szCs w:val="24"/>
        </w:rPr>
      </w:pPr>
      <w:r>
        <w:rPr>
          <w:sz w:val="24"/>
          <w:szCs w:val="24"/>
        </w:rPr>
        <w:t>1</w:t>
      </w:r>
      <w:r w:rsidR="00E64773">
        <w:rPr>
          <w:sz w:val="24"/>
          <w:szCs w:val="24"/>
        </w:rPr>
        <w:t>2</w:t>
      </w:r>
      <w:r w:rsidR="00A15FB2" w:rsidRPr="00A15FB2">
        <w:rPr>
          <w:sz w:val="24"/>
          <w:szCs w:val="24"/>
        </w:rPr>
        <w:t xml:space="preserve">:00 </w:t>
      </w:r>
      <w:r w:rsidR="00E64773">
        <w:rPr>
          <w:sz w:val="24"/>
          <w:szCs w:val="24"/>
        </w:rPr>
        <w:t>P</w:t>
      </w:r>
      <w:r w:rsidR="00A15FB2" w:rsidRPr="00A15FB2">
        <w:rPr>
          <w:sz w:val="24"/>
          <w:szCs w:val="24"/>
        </w:rPr>
        <w:t>.M</w:t>
      </w:r>
      <w:r w:rsidR="00135ECE" w:rsidRPr="00A15FB2">
        <w:rPr>
          <w:sz w:val="24"/>
          <w:szCs w:val="24"/>
        </w:rPr>
        <w:t>.</w:t>
      </w:r>
    </w:p>
    <w:p w14:paraId="2A780A9C" w14:textId="77777777" w:rsidR="00FF6916" w:rsidRDefault="00FF6916" w:rsidP="00FF6916">
      <w:pPr>
        <w:pStyle w:val="Header"/>
        <w:tabs>
          <w:tab w:val="left" w:pos="720"/>
          <w:tab w:val="left" w:pos="1440"/>
        </w:tabs>
        <w:jc w:val="center"/>
        <w:rPr>
          <w:rFonts w:ascii="Times New Roman" w:hAnsi="Times New Roman"/>
          <w:sz w:val="24"/>
          <w:szCs w:val="24"/>
        </w:rPr>
      </w:pPr>
      <w:r>
        <w:rPr>
          <w:rFonts w:ascii="Times New Roman" w:hAnsi="Times New Roman"/>
          <w:sz w:val="24"/>
          <w:szCs w:val="24"/>
        </w:rPr>
        <w:t>Cancer Center, G-1196</w:t>
      </w:r>
    </w:p>
    <w:p w14:paraId="2384C42F" w14:textId="77777777" w:rsidR="00FF6916" w:rsidRDefault="00FF6916" w:rsidP="00FF6916">
      <w:pPr>
        <w:spacing w:after="240" w:line="480" w:lineRule="auto"/>
        <w:rPr>
          <w:rFonts w:cs="Arial"/>
          <w:color w:val="222222"/>
          <w:sz w:val="24"/>
          <w:szCs w:val="24"/>
        </w:rPr>
      </w:pPr>
    </w:p>
    <w:p w14:paraId="5738EACC" w14:textId="7087ECD7" w:rsidR="00FF6916" w:rsidRDefault="00FF6916" w:rsidP="006D46D4">
      <w:pPr>
        <w:spacing w:after="240" w:line="480" w:lineRule="auto"/>
        <w:ind w:left="2160" w:firstLine="1440"/>
      </w:pPr>
      <w:r>
        <w:rPr>
          <w:b/>
          <w:sz w:val="36"/>
          <w:szCs w:val="36"/>
        </w:rPr>
        <w:lastRenderedPageBreak/>
        <w:t>ABSTRACT</w:t>
      </w:r>
    </w:p>
    <w:p w14:paraId="657718AA" w14:textId="70FDD866" w:rsidR="00E64773" w:rsidRPr="006E6380" w:rsidRDefault="00E64773" w:rsidP="00D064BC">
      <w:pPr>
        <w:spacing w:line="300" w:lineRule="exact"/>
        <w:rPr>
          <w:rFonts w:ascii="Palatino Linotype" w:hAnsi="Palatino Linotype" w:cs="Arial"/>
          <w:sz w:val="24"/>
          <w:szCs w:val="24"/>
        </w:rPr>
      </w:pPr>
      <w:bookmarkStart w:id="0" w:name="_Hlk516819222"/>
      <w:r w:rsidRPr="006E6380">
        <w:rPr>
          <w:rFonts w:ascii="Palatino Linotype" w:hAnsi="Palatino Linotype" w:cs="Arial"/>
          <w:sz w:val="24"/>
          <w:szCs w:val="24"/>
        </w:rPr>
        <w:t xml:space="preserve">Bone morphogenetic protein (BMP) 2 is a classical morphogen whose concentration influences myogenesis, adipogenesis, chondrogenesis, and osteogenesis. Therefore, the mechanisms that regulate BMP2 synthesis are crucial. 300 nucleotides of the Bmp2 3' untranslated region (UTR) mRNA, the "ultra-conserved sequence" (UCS), have been largely unchanged since fishes and mammals diverged. Deletion of the UCS in a reporter transgene revealed that the UCS can repress </w:t>
      </w:r>
      <w:r w:rsidRPr="006E6380">
        <w:rPr>
          <w:rFonts w:ascii="Palatino Linotype" w:hAnsi="Palatino Linotype" w:cs="Arial"/>
          <w:i/>
          <w:sz w:val="24"/>
          <w:szCs w:val="24"/>
        </w:rPr>
        <w:t>Bmp2</w:t>
      </w:r>
      <w:r w:rsidRPr="006E6380">
        <w:rPr>
          <w:rFonts w:ascii="Palatino Linotype" w:hAnsi="Palatino Linotype" w:cs="Arial"/>
          <w:sz w:val="24"/>
          <w:szCs w:val="24"/>
        </w:rPr>
        <w:t xml:space="preserve"> in essential embryonic structures including the de</w:t>
      </w:r>
      <w:bookmarkStart w:id="1" w:name="_GoBack"/>
      <w:bookmarkEnd w:id="1"/>
      <w:r w:rsidRPr="006E6380">
        <w:rPr>
          <w:rFonts w:ascii="Palatino Linotype" w:hAnsi="Palatino Linotype" w:cs="Arial"/>
          <w:sz w:val="24"/>
          <w:szCs w:val="24"/>
        </w:rPr>
        <w:t xml:space="preserve">veloping heart. Using gene targeting in mice, we generated conditional </w:t>
      </w:r>
      <w:r w:rsidRPr="006E6380">
        <w:rPr>
          <w:rFonts w:ascii="Palatino Linotype" w:hAnsi="Palatino Linotype" w:cs="Arial"/>
          <w:i/>
          <w:sz w:val="24"/>
          <w:szCs w:val="24"/>
        </w:rPr>
        <w:t xml:space="preserve">Bmp2 </w:t>
      </w:r>
      <w:r w:rsidRPr="006E6380">
        <w:rPr>
          <w:rFonts w:ascii="Palatino Linotype" w:hAnsi="Palatino Linotype" w:cs="Arial"/>
          <w:sz w:val="24"/>
          <w:szCs w:val="24"/>
        </w:rPr>
        <w:t xml:space="preserve">alleles that enabled the deletion of the UCS. Removal of the UCS was associated with elevated </w:t>
      </w:r>
      <w:r w:rsidRPr="006E6380">
        <w:rPr>
          <w:rFonts w:ascii="Palatino Linotype" w:hAnsi="Palatino Linotype" w:cs="Arial"/>
          <w:i/>
          <w:sz w:val="24"/>
          <w:szCs w:val="24"/>
        </w:rPr>
        <w:t>Bmp2</w:t>
      </w:r>
      <w:r w:rsidRPr="006E6380">
        <w:rPr>
          <w:rFonts w:ascii="Palatino Linotype" w:hAnsi="Palatino Linotype" w:cs="Arial"/>
          <w:sz w:val="24"/>
          <w:szCs w:val="24"/>
        </w:rPr>
        <w:t xml:space="preserve"> mRNA and BMP signaling levels, reduced fitness, and embryonic malformations.</w:t>
      </w:r>
    </w:p>
    <w:p w14:paraId="5563B15F" w14:textId="77777777" w:rsidR="006E6380" w:rsidRPr="006E6380" w:rsidRDefault="006E6380" w:rsidP="00D064BC">
      <w:pPr>
        <w:spacing w:line="300" w:lineRule="exact"/>
        <w:rPr>
          <w:rFonts w:ascii="Palatino Linotype" w:hAnsi="Palatino Linotype" w:cs="Arial"/>
          <w:sz w:val="24"/>
          <w:szCs w:val="24"/>
        </w:rPr>
      </w:pPr>
    </w:p>
    <w:p w14:paraId="24FA3196" w14:textId="049590F2" w:rsidR="00E64773" w:rsidRPr="006E6380" w:rsidRDefault="00E64773" w:rsidP="00D064BC">
      <w:pPr>
        <w:spacing w:line="300" w:lineRule="exact"/>
        <w:jc w:val="both"/>
        <w:rPr>
          <w:rFonts w:ascii="Palatino Linotype" w:hAnsi="Palatino Linotype" w:cs="Arial"/>
          <w:sz w:val="24"/>
          <w:szCs w:val="24"/>
        </w:rPr>
      </w:pPr>
      <w:r w:rsidRPr="006E6380">
        <w:rPr>
          <w:rFonts w:ascii="Palatino Linotype" w:hAnsi="Palatino Linotype" w:cs="Arial"/>
          <w:sz w:val="24"/>
          <w:szCs w:val="24"/>
        </w:rPr>
        <w:t xml:space="preserve">BMP2 is increased in all forms of cardiovascular calcification.  The </w:t>
      </w:r>
      <w:r w:rsidRPr="006E6380">
        <w:rPr>
          <w:rFonts w:ascii="Palatino Linotype" w:hAnsi="Palatino Linotype" w:cs="Arial"/>
          <w:i/>
          <w:sz w:val="24"/>
          <w:szCs w:val="24"/>
        </w:rPr>
        <w:t xml:space="preserve">Bmp2 </w:t>
      </w:r>
      <w:r w:rsidRPr="006E6380">
        <w:rPr>
          <w:rFonts w:ascii="Palatino Linotype" w:hAnsi="Palatino Linotype" w:cs="Arial"/>
          <w:sz w:val="24"/>
          <w:szCs w:val="24"/>
        </w:rPr>
        <w:t xml:space="preserve">UCS represses reporter gene expression in cardiovascular cells.  We determined the impact of the endogenous UCS on </w:t>
      </w:r>
      <w:r w:rsidRPr="006E6380">
        <w:rPr>
          <w:rFonts w:ascii="Palatino Linotype" w:hAnsi="Palatino Linotype" w:cs="Arial"/>
          <w:i/>
          <w:sz w:val="24"/>
          <w:szCs w:val="24"/>
        </w:rPr>
        <w:t>Bmp2</w:t>
      </w:r>
      <w:r w:rsidRPr="006E6380">
        <w:rPr>
          <w:rFonts w:ascii="Palatino Linotype" w:hAnsi="Palatino Linotype" w:cs="Arial"/>
          <w:sz w:val="24"/>
          <w:szCs w:val="24"/>
        </w:rPr>
        <w:t xml:space="preserve"> mRNA levels, BMP signaling, and calcification in the </w:t>
      </w:r>
      <w:r w:rsidRPr="006E6380">
        <w:rPr>
          <w:rFonts w:ascii="Palatino Linotype" w:hAnsi="Palatino Linotype" w:cs="Arial"/>
          <w:noProof/>
          <w:sz w:val="24"/>
          <w:szCs w:val="24"/>
        </w:rPr>
        <w:t>healthy</w:t>
      </w:r>
      <w:r w:rsidRPr="006E6380">
        <w:rPr>
          <w:rFonts w:ascii="Palatino Linotype" w:hAnsi="Palatino Linotype" w:cs="Arial"/>
          <w:sz w:val="24"/>
          <w:szCs w:val="24"/>
        </w:rPr>
        <w:t xml:space="preserve"> aorta and in the calcified aorta of </w:t>
      </w:r>
      <w:r w:rsidRPr="006E6380">
        <w:rPr>
          <w:rFonts w:ascii="Palatino Linotype" w:hAnsi="Palatino Linotype" w:cs="Arial"/>
          <w:i/>
          <w:sz w:val="24"/>
          <w:szCs w:val="24"/>
        </w:rPr>
        <w:t xml:space="preserve">Klotho </w:t>
      </w:r>
      <w:r w:rsidRPr="006E6380">
        <w:rPr>
          <w:rFonts w:ascii="Palatino Linotype" w:hAnsi="Palatino Linotype" w:cs="Arial"/>
          <w:sz w:val="24"/>
          <w:szCs w:val="24"/>
        </w:rPr>
        <w:t xml:space="preserve">mutant homozygotes with </w:t>
      </w:r>
      <w:r w:rsidRPr="006E6380">
        <w:rPr>
          <w:rFonts w:ascii="Palatino Linotype" w:hAnsi="Palatino Linotype" w:cs="Arial"/>
          <w:noProof/>
          <w:sz w:val="24"/>
          <w:szCs w:val="24"/>
        </w:rPr>
        <w:t>renal</w:t>
      </w:r>
      <w:r w:rsidRPr="006E6380">
        <w:rPr>
          <w:rFonts w:ascii="Palatino Linotype" w:hAnsi="Palatino Linotype" w:cs="Arial"/>
          <w:sz w:val="24"/>
          <w:szCs w:val="24"/>
        </w:rPr>
        <w:t xml:space="preserve"> disease.  UCS deletion induced aortic </w:t>
      </w:r>
      <w:r w:rsidRPr="006E6380">
        <w:rPr>
          <w:rFonts w:ascii="Palatino Linotype" w:hAnsi="Palatino Linotype" w:cs="Arial"/>
          <w:i/>
          <w:sz w:val="24"/>
          <w:szCs w:val="24"/>
        </w:rPr>
        <w:t xml:space="preserve">Bmp2 </w:t>
      </w:r>
      <w:r w:rsidRPr="006E6380">
        <w:rPr>
          <w:rFonts w:ascii="Palatino Linotype" w:hAnsi="Palatino Linotype" w:cs="Arial"/>
          <w:sz w:val="24"/>
          <w:szCs w:val="24"/>
        </w:rPr>
        <w:t xml:space="preserve">mRNA and BMP signaling in control males, but not in females.  UCS deletion significantly increased BMP signaling in both male and female </w:t>
      </w:r>
      <w:r w:rsidRPr="006E6380">
        <w:rPr>
          <w:rFonts w:ascii="Palatino Linotype" w:hAnsi="Palatino Linotype" w:cs="Arial"/>
          <w:i/>
          <w:sz w:val="24"/>
          <w:szCs w:val="24"/>
        </w:rPr>
        <w:t xml:space="preserve">Klotho </w:t>
      </w:r>
      <w:r w:rsidRPr="006E6380">
        <w:rPr>
          <w:rFonts w:ascii="Palatino Linotype" w:hAnsi="Palatino Linotype" w:cs="Arial"/>
          <w:sz w:val="24"/>
          <w:szCs w:val="24"/>
        </w:rPr>
        <w:t xml:space="preserve">homozygotes. Key differences between males and females in </w:t>
      </w:r>
      <w:r w:rsidRPr="006E6380">
        <w:rPr>
          <w:rFonts w:ascii="Palatino Linotype" w:hAnsi="Palatino Linotype" w:cs="Arial"/>
          <w:i/>
          <w:sz w:val="24"/>
          <w:szCs w:val="24"/>
        </w:rPr>
        <w:t xml:space="preserve">Bmp2 </w:t>
      </w:r>
      <w:r w:rsidRPr="006E6380">
        <w:rPr>
          <w:rFonts w:ascii="Palatino Linotype" w:hAnsi="Palatino Linotype" w:cs="Arial"/>
          <w:sz w:val="24"/>
          <w:szCs w:val="24"/>
        </w:rPr>
        <w:t>expression and BMP signaling were discovered. S</w:t>
      </w:r>
      <w:r w:rsidRPr="006E6380">
        <w:rPr>
          <w:rFonts w:ascii="Palatino Linotype" w:hAnsi="Palatino Linotype" w:cs="Arial"/>
          <w:noProof/>
          <w:sz w:val="24"/>
          <w:szCs w:val="24"/>
        </w:rPr>
        <w:t>ex-specific</w:t>
      </w:r>
      <w:r w:rsidRPr="006E6380">
        <w:rPr>
          <w:rFonts w:ascii="Palatino Linotype" w:hAnsi="Palatino Linotype" w:cs="Arial"/>
          <w:sz w:val="24"/>
          <w:szCs w:val="24"/>
        </w:rPr>
        <w:t xml:space="preserve"> differences in </w:t>
      </w:r>
      <w:r w:rsidRPr="006E6380">
        <w:rPr>
          <w:rFonts w:ascii="Palatino Linotype" w:hAnsi="Palatino Linotype" w:cs="Arial"/>
          <w:i/>
          <w:sz w:val="24"/>
          <w:szCs w:val="24"/>
        </w:rPr>
        <w:t>Bmp2</w:t>
      </w:r>
      <w:r w:rsidRPr="006E6380">
        <w:rPr>
          <w:rFonts w:ascii="Palatino Linotype" w:hAnsi="Palatino Linotype" w:cs="Arial"/>
          <w:sz w:val="24"/>
          <w:szCs w:val="24"/>
        </w:rPr>
        <w:t xml:space="preserve"> gene control may partly explain the increased propensity of males to undergo cardiovascular calcification. </w:t>
      </w:r>
    </w:p>
    <w:p w14:paraId="78E6594B" w14:textId="77777777" w:rsidR="006E6380" w:rsidRPr="006E6380" w:rsidRDefault="006E6380" w:rsidP="00D064BC">
      <w:pPr>
        <w:spacing w:line="300" w:lineRule="exact"/>
        <w:jc w:val="both"/>
        <w:rPr>
          <w:rFonts w:ascii="Palatino Linotype" w:hAnsi="Palatino Linotype" w:cs="Arial"/>
          <w:sz w:val="24"/>
          <w:szCs w:val="24"/>
        </w:rPr>
      </w:pPr>
    </w:p>
    <w:p w14:paraId="2D4D1CB0" w14:textId="77777777" w:rsidR="00E64773" w:rsidRPr="006E6380" w:rsidRDefault="00E64773" w:rsidP="00D064BC">
      <w:pPr>
        <w:spacing w:line="300" w:lineRule="exact"/>
        <w:jc w:val="both"/>
        <w:rPr>
          <w:rFonts w:ascii="Palatino Linotype" w:hAnsi="Palatino Linotype" w:cs="Arial"/>
          <w:b/>
          <w:color w:val="000000"/>
          <w:sz w:val="24"/>
          <w:szCs w:val="24"/>
        </w:rPr>
      </w:pPr>
      <w:r w:rsidRPr="006E6380">
        <w:rPr>
          <w:rFonts w:ascii="Palatino Linotype" w:hAnsi="Palatino Linotype" w:cs="Arial"/>
          <w:sz w:val="24"/>
          <w:szCs w:val="24"/>
        </w:rPr>
        <w:t xml:space="preserve">MicroRNAs are </w:t>
      </w:r>
      <w:r w:rsidRPr="006E6380">
        <w:rPr>
          <w:rFonts w:ascii="Palatino Linotype" w:hAnsi="Palatino Linotype" w:cs="Arial"/>
          <w:i/>
          <w:sz w:val="24"/>
          <w:szCs w:val="24"/>
        </w:rPr>
        <w:t>trans</w:t>
      </w:r>
      <w:r w:rsidRPr="006E6380">
        <w:rPr>
          <w:rFonts w:ascii="Palatino Linotype" w:hAnsi="Palatino Linotype" w:cs="Arial"/>
          <w:sz w:val="24"/>
          <w:szCs w:val="24"/>
        </w:rPr>
        <w:t xml:space="preserve">-regulatory factors that may repress gene expression by binding to </w:t>
      </w:r>
      <w:r w:rsidRPr="006E6380">
        <w:rPr>
          <w:rFonts w:ascii="Palatino Linotype" w:hAnsi="Palatino Linotype" w:cs="Arial"/>
          <w:i/>
          <w:sz w:val="24"/>
          <w:szCs w:val="24"/>
        </w:rPr>
        <w:t>cis</w:t>
      </w:r>
      <w:r w:rsidRPr="006E6380">
        <w:rPr>
          <w:rFonts w:ascii="Palatino Linotype" w:hAnsi="Palatino Linotype" w:cs="Arial"/>
          <w:sz w:val="24"/>
          <w:szCs w:val="24"/>
        </w:rPr>
        <w:t xml:space="preserve">-regulatory elements such as the 3’ UTR. Using miRNA microarrays, we profiled miRNAs in the aorta from healthy control and </w:t>
      </w:r>
      <w:r w:rsidRPr="006E6380">
        <w:rPr>
          <w:rFonts w:ascii="Palatino Linotype" w:hAnsi="Palatino Linotype" w:cs="Arial"/>
          <w:i/>
          <w:sz w:val="24"/>
          <w:szCs w:val="24"/>
        </w:rPr>
        <w:t xml:space="preserve">Klotho </w:t>
      </w:r>
      <w:r w:rsidRPr="006E6380">
        <w:rPr>
          <w:rFonts w:ascii="Palatino Linotype" w:hAnsi="Palatino Linotype" w:cs="Arial"/>
          <w:sz w:val="24"/>
          <w:szCs w:val="24"/>
        </w:rPr>
        <w:t xml:space="preserve">mutant mice with pathological calcification and in normal aged mice. Many miRNAs that were repressed in the calcified aorta from </w:t>
      </w:r>
      <w:r w:rsidRPr="006E6380">
        <w:rPr>
          <w:rFonts w:ascii="Palatino Linotype" w:hAnsi="Palatino Linotype" w:cs="Arial"/>
          <w:i/>
          <w:sz w:val="24"/>
          <w:szCs w:val="24"/>
        </w:rPr>
        <w:t xml:space="preserve">Klotho </w:t>
      </w:r>
      <w:r w:rsidRPr="006E6380">
        <w:rPr>
          <w:rFonts w:ascii="Palatino Linotype" w:hAnsi="Palatino Linotype" w:cs="Arial"/>
          <w:sz w:val="24"/>
          <w:szCs w:val="24"/>
        </w:rPr>
        <w:t xml:space="preserve">mutant mice and predicted to target </w:t>
      </w:r>
      <w:r w:rsidRPr="006E6380">
        <w:rPr>
          <w:rFonts w:ascii="Palatino Linotype" w:hAnsi="Palatino Linotype" w:cs="Arial"/>
          <w:i/>
          <w:sz w:val="24"/>
          <w:szCs w:val="24"/>
        </w:rPr>
        <w:t>Bmp2</w:t>
      </w:r>
      <w:r w:rsidRPr="006E6380">
        <w:rPr>
          <w:rFonts w:ascii="Palatino Linotype" w:hAnsi="Palatino Linotype" w:cs="Arial"/>
          <w:sz w:val="24"/>
          <w:szCs w:val="24"/>
        </w:rPr>
        <w:t>, were also down-regulated in human calcified cardiovascular tissues. We also have for the first time obtained aortic miRNA profiles associated with age-progression and sex. MicroRNAs that regulate the synthesis of BMP2 and down-stream proteins or factors associated with calcification are attractive biomarkers for predicting the progression of the disease and potential therapeutic targets.</w:t>
      </w:r>
    </w:p>
    <w:bookmarkEnd w:id="0"/>
    <w:p w14:paraId="02525393" w14:textId="77777777" w:rsidR="00E64773" w:rsidRPr="00525E87" w:rsidRDefault="00E64773" w:rsidP="00E64773">
      <w:pPr>
        <w:spacing w:line="360" w:lineRule="auto"/>
        <w:jc w:val="both"/>
        <w:rPr>
          <w:rFonts w:ascii="Arial" w:hAnsi="Arial" w:cs="Arial"/>
          <w:b/>
          <w:color w:val="000000"/>
          <w:szCs w:val="22"/>
        </w:rPr>
      </w:pPr>
    </w:p>
    <w:p w14:paraId="16D3A81B" w14:textId="791403E1" w:rsidR="004B2067" w:rsidRDefault="004B2067" w:rsidP="00E64773">
      <w:pPr>
        <w:pStyle w:val="Letterbody"/>
        <w:spacing w:line="240" w:lineRule="auto"/>
        <w:outlineLvl w:val="0"/>
      </w:pPr>
    </w:p>
    <w:sectPr w:rsidR="004B2067">
      <w:headerReference w:type="default" r:id="rId6"/>
      <w:headerReference w:type="first" r:id="rId7"/>
      <w:pgSz w:w="12240" w:h="15840"/>
      <w:pgMar w:top="2419" w:right="1080" w:bottom="806" w:left="1800" w:header="576"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309D3" w14:textId="77777777" w:rsidR="00AB2DBC" w:rsidRDefault="00AB2DBC">
      <w:r>
        <w:separator/>
      </w:r>
    </w:p>
  </w:endnote>
  <w:endnote w:type="continuationSeparator" w:id="0">
    <w:p w14:paraId="4E8D6FFD" w14:textId="77777777" w:rsidR="00AB2DBC" w:rsidRDefault="00AB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D7485" w14:textId="77777777" w:rsidR="00AB2DBC" w:rsidRDefault="00AB2DBC">
      <w:r>
        <w:separator/>
      </w:r>
    </w:p>
  </w:footnote>
  <w:footnote w:type="continuationSeparator" w:id="0">
    <w:p w14:paraId="1596C115" w14:textId="77777777" w:rsidR="00AB2DBC" w:rsidRDefault="00AB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721E" w14:textId="77777777" w:rsidR="004B2067" w:rsidRDefault="004B2067" w:rsidP="004B2067">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A0333" w14:textId="3389B409" w:rsidR="004B2067" w:rsidRDefault="002E658F">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2E098E68" wp14:editId="2290BEBC">
              <wp:simplePos x="0" y="0"/>
              <wp:positionH relativeFrom="page">
                <wp:posOffset>3333750</wp:posOffset>
              </wp:positionH>
              <wp:positionV relativeFrom="page">
                <wp:posOffset>342901</wp:posOffset>
              </wp:positionV>
              <wp:extent cx="2315210" cy="1033780"/>
              <wp:effectExtent l="0" t="0" r="889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0337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type w14:anchorId="2E098E68" id="_x0000_t202" coordsize="21600,21600" o:spt="202" path="m0,0l0,21600,21600,21600,21600,0xe">
              <v:stroke joinstyle="miter"/>
              <v:path gradientshapeok="t" o:connecttype="rect"/>
            </v:shapetype>
            <v:shape id="Text Box 1" o:spid="_x0000_s1026" type="#_x0000_t202" style="position:absolute;left:0;text-align:left;margin-left:262.5pt;margin-top:27pt;width:182.3pt;height:8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" o:allowoverlap="f" stroked="f">
              <v:textbox inset="0,4.32pt,0,0">
                <w:txbxContent>
                  <w:p w14:paraId="27A6C510" w14:textId="77777777" w:rsidR="002E658F" w:rsidRDefault="002E658F" w:rsidP="002E658F">
                    <w:pPr>
                      <w:pStyle w:val="AddressBlockArial"/>
                      <w:rPr>
                        <w:rFonts w:ascii="Arial-BoldMT" w:hAnsi="Arial-BoldMT"/>
                      </w:rPr>
                    </w:pPr>
                    <w:r>
                      <w:rPr>
                        <w:rFonts w:ascii="Arial-BoldMT" w:hAnsi="Arial-BoldMT"/>
                      </w:rPr>
                      <w:t>Office of Student Affairs and Admissions</w:t>
                    </w:r>
                  </w:p>
                  <w:p w14:paraId="43E2B9E0" w14:textId="5FD22B5E" w:rsidR="002E658F" w:rsidRPr="00A25CD5" w:rsidRDefault="002E658F" w:rsidP="002E658F">
                    <w:pPr>
                      <w:pStyle w:val="AddressBlockArial"/>
                      <w:rPr>
                        <w:rFonts w:ascii="Arial-BoldMT" w:hAnsi="Arial-BoldMT"/>
                      </w:rPr>
                    </w:pPr>
                    <w:r>
                      <w:rPr>
                        <w:rFonts w:ascii="Arial-BoldMT" w:hAnsi="Arial-BoldMT"/>
                      </w:rPr>
                      <w:t>SGS at New Jersey Medical School</w:t>
                    </w:r>
                  </w:p>
                  <w:p w14:paraId="6C018FA7" w14:textId="77777777" w:rsidR="002E658F" w:rsidRPr="00AA2422" w:rsidRDefault="002E658F" w:rsidP="002E658F">
                    <w:pPr>
                      <w:pStyle w:val="AddressBlockArial"/>
                      <w:rPr>
                        <w:rFonts w:ascii="Arial-BoldMT" w:hAnsi="Arial-BoldMT"/>
                      </w:rPr>
                    </w:pPr>
                    <w:r w:rsidRPr="00AA2422">
                      <w:rPr>
                        <w:rFonts w:ascii="Arial-BoldMT" w:hAnsi="Arial-BoldMT"/>
                      </w:rPr>
                      <w:t>Rutgers, The State University of New Jersey</w:t>
                    </w:r>
                  </w:p>
                  <w:p w14:paraId="12F0EC3D" w14:textId="77777777" w:rsidR="002E658F" w:rsidRPr="00AA2422" w:rsidRDefault="002E658F" w:rsidP="002E658F">
                    <w:pPr>
                      <w:pStyle w:val="AddressBlockArial"/>
                      <w:rPr>
                        <w:rFonts w:ascii="Arial-BoldMT" w:hAnsi="Arial-BoldMT"/>
                      </w:rPr>
                    </w:pPr>
                    <w:r w:rsidRPr="00AA2422">
                      <w:rPr>
                        <w:rFonts w:ascii="Arial-BoldMT" w:hAnsi="Arial-BoldMT"/>
                      </w:rPr>
                      <w:t>185 South Orange Avenue, MSB C-696</w:t>
                    </w:r>
                  </w:p>
                  <w:p w14:paraId="3FA3894C" w14:textId="77777777" w:rsidR="002E658F" w:rsidRPr="00AA2422" w:rsidRDefault="002E658F" w:rsidP="002E658F">
                    <w:pPr>
                      <w:pStyle w:val="AddressBlockArial"/>
                      <w:rPr>
                        <w:rFonts w:ascii="Arial-BoldMT" w:hAnsi="Arial-BoldMT"/>
                      </w:rPr>
                    </w:pPr>
                    <w:r>
                      <w:rPr>
                        <w:rFonts w:ascii="Arial-BoldMT" w:hAnsi="Arial-BoldMT"/>
                      </w:rPr>
                      <w:t>Newark</w:t>
                    </w:r>
                    <w:r w:rsidRPr="00AA2422">
                      <w:rPr>
                        <w:rFonts w:ascii="Arial-BoldMT" w:hAnsi="Arial-BoldMT"/>
                      </w:rPr>
                      <w:t xml:space="preserve">, NJ  </w:t>
                    </w:r>
                    <w:r>
                      <w:rPr>
                        <w:rFonts w:ascii="Arial-BoldMT" w:hAnsi="Arial-BoldMT"/>
                      </w:rPr>
                      <w:t>07103</w:t>
                    </w:r>
                  </w:p>
                  <w:p w14:paraId="6DF2507E" w14:textId="7A645FAF" w:rsidR="004B2067" w:rsidRDefault="004B2067" w:rsidP="009538A1">
                    <w:pPr>
                      <w:pStyle w:val="AddressBlockArial"/>
                    </w:pPr>
                  </w:p>
                </w:txbxContent>
              </v:textbox>
              <w10:wrap anchorx="page" anchory="page"/>
            </v:shape>
          </w:pict>
        </mc:Fallback>
      </mc:AlternateContent>
    </w:r>
    <w:r w:rsidR="004D440A">
      <w:rPr>
        <w:noProof/>
      </w:rPr>
      <w:drawing>
        <wp:inline distT="0" distB="0" distL="0" distR="0" wp14:anchorId="6508E672" wp14:editId="44CC9097">
          <wp:extent cx="1892808" cy="48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Sig direct from LH.tif"/>
                  <pic:cNvPicPr/>
                </pic:nvPicPr>
                <pic:blipFill>
                  <a:blip r:embed="rId1">
                    <a:extLst>
                      <a:ext uri="{28A0092B-C50C-407E-A947-70E740481C1C}">
                        <a14:useLocalDpi xmlns:a14="http://schemas.microsoft.com/office/drawing/2010/main" val="0"/>
                      </a:ext>
                    </a:extLst>
                  </a:blip>
                  <a:stretch>
                    <a:fillRect/>
                  </a:stretch>
                </pic:blipFill>
                <pic:spPr>
                  <a:xfrm>
                    <a:off x="0" y="0"/>
                    <a:ext cx="1892808" cy="484632"/>
                  </a:xfrm>
                  <a:prstGeom prst="rect">
                    <a:avLst/>
                  </a:prstGeom>
                </pic:spPr>
              </pic:pic>
            </a:graphicData>
          </a:graphic>
        </wp:inline>
      </w:drawing>
    </w:r>
    <w:r w:rsidR="00CE5DFE">
      <w:rPr>
        <w:noProof/>
      </w:rPr>
      <mc:AlternateContent>
        <mc:Choice Requires="wps">
          <w:drawing>
            <wp:anchor distT="0" distB="0" distL="114300" distR="114300" simplePos="0" relativeHeight="251657728" behindDoc="0" locked="1" layoutInCell="1" allowOverlap="0" wp14:anchorId="3FA9083E" wp14:editId="0F926768">
              <wp:simplePos x="0" y="0"/>
              <wp:positionH relativeFrom="page">
                <wp:posOffset>5769610</wp:posOffset>
              </wp:positionH>
              <wp:positionV relativeFrom="page">
                <wp:posOffset>347345</wp:posOffset>
              </wp:positionV>
              <wp:extent cx="1600200" cy="102679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2"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shape w14:anchorId="3FA9083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" o:allowoverlap="f" filled="f" stroked="f">
              <v:textbox inset="0,4.32pt,0,0">
                <w:txbxContent>
                  <w:p w14:paraId="4B0C5F3E" w14:textId="08BD07DF" w:rsidR="002E658F" w:rsidRPr="005E0DA8" w:rsidRDefault="002E658F" w:rsidP="002E658F">
                    <w:pPr>
                      <w:rPr>
                        <w:rFonts w:ascii="Arial-BoldMT" w:hAnsi="Arial-BoldMT"/>
                        <w:noProof/>
                        <w:sz w:val="15"/>
                      </w:rPr>
                    </w:pPr>
                    <w:r w:rsidRPr="005E0DA8">
                      <w:rPr>
                        <w:rFonts w:ascii="Arial-BoldMT" w:hAnsi="Arial-BoldMT"/>
                        <w:noProof/>
                        <w:sz w:val="15"/>
                      </w:rPr>
                      <w:t xml:space="preserve"> http://</w:t>
                    </w:r>
                    <w:hyperlink r:id="rId3" w:history="1">
                      <w:r w:rsidRPr="005E0DA8">
                        <w:rPr>
                          <w:rFonts w:ascii="Arial-BoldMT" w:hAnsi="Arial-BoldMT"/>
                          <w:noProof/>
                          <w:sz w:val="15"/>
                        </w:rPr>
                        <w:t>njms.rutgers.edu/gsbs/</w:t>
                      </w:r>
                    </w:hyperlink>
                  </w:p>
                  <w:p w14:paraId="34AEB261" w14:textId="77777777" w:rsidR="002E658F" w:rsidRDefault="002E658F" w:rsidP="002E658F">
                    <w:pPr>
                      <w:pStyle w:val="AddressBlockArial"/>
                    </w:pPr>
                    <w:r>
                      <w:t>p. 973-972-4511</w:t>
                    </w:r>
                  </w:p>
                  <w:p w14:paraId="2CFDF973" w14:textId="77777777" w:rsidR="002E658F" w:rsidRDefault="002E658F" w:rsidP="002E658F">
                    <w:pPr>
                      <w:pStyle w:val="AddressBlockArial"/>
                    </w:pPr>
                    <w:r>
                      <w:t>f. 973-972-7148</w:t>
                    </w:r>
                  </w:p>
                  <w:p w14:paraId="4152D87F" w14:textId="77777777" w:rsidR="004716F0" w:rsidRDefault="004716F0" w:rsidP="009538A1">
                    <w:pPr>
                      <w:pStyle w:val="AddressBlockArial"/>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1MTYzNTawMDUxMDVX0lEKTi0uzszPAykwrgUAkndFWiwAAAA="/>
  </w:docVars>
  <w:rsids>
    <w:rsidRoot w:val="008D71BD"/>
    <w:rsid w:val="00007DFA"/>
    <w:rsid w:val="0002189A"/>
    <w:rsid w:val="000C082C"/>
    <w:rsid w:val="00123200"/>
    <w:rsid w:val="00135ECE"/>
    <w:rsid w:val="001569DF"/>
    <w:rsid w:val="00163CD3"/>
    <w:rsid w:val="00196C7B"/>
    <w:rsid w:val="00255858"/>
    <w:rsid w:val="00291043"/>
    <w:rsid w:val="002E658F"/>
    <w:rsid w:val="0030796F"/>
    <w:rsid w:val="00397791"/>
    <w:rsid w:val="003D6440"/>
    <w:rsid w:val="003F7CF8"/>
    <w:rsid w:val="00456AAF"/>
    <w:rsid w:val="004716F0"/>
    <w:rsid w:val="00472121"/>
    <w:rsid w:val="004A0746"/>
    <w:rsid w:val="004A60F9"/>
    <w:rsid w:val="004B2067"/>
    <w:rsid w:val="004D440A"/>
    <w:rsid w:val="00517E2C"/>
    <w:rsid w:val="00552E8A"/>
    <w:rsid w:val="00587E30"/>
    <w:rsid w:val="005A43E2"/>
    <w:rsid w:val="005D0806"/>
    <w:rsid w:val="00601C42"/>
    <w:rsid w:val="00632446"/>
    <w:rsid w:val="0063633A"/>
    <w:rsid w:val="00642985"/>
    <w:rsid w:val="0065527F"/>
    <w:rsid w:val="00670371"/>
    <w:rsid w:val="00690B24"/>
    <w:rsid w:val="0069264B"/>
    <w:rsid w:val="006C4531"/>
    <w:rsid w:val="006D32EC"/>
    <w:rsid w:val="006D46D4"/>
    <w:rsid w:val="006E6380"/>
    <w:rsid w:val="0070600B"/>
    <w:rsid w:val="007213CB"/>
    <w:rsid w:val="00771F91"/>
    <w:rsid w:val="00813754"/>
    <w:rsid w:val="00834962"/>
    <w:rsid w:val="008D71BD"/>
    <w:rsid w:val="008F53F3"/>
    <w:rsid w:val="009538A1"/>
    <w:rsid w:val="00992880"/>
    <w:rsid w:val="009B29CA"/>
    <w:rsid w:val="00A14A63"/>
    <w:rsid w:val="00A15FB2"/>
    <w:rsid w:val="00A93241"/>
    <w:rsid w:val="00AB2DBC"/>
    <w:rsid w:val="00BA5A5A"/>
    <w:rsid w:val="00BC17B7"/>
    <w:rsid w:val="00C67E4C"/>
    <w:rsid w:val="00C76A58"/>
    <w:rsid w:val="00C84504"/>
    <w:rsid w:val="00CA07A9"/>
    <w:rsid w:val="00CE5DFE"/>
    <w:rsid w:val="00D064BC"/>
    <w:rsid w:val="00D21965"/>
    <w:rsid w:val="00D40531"/>
    <w:rsid w:val="00D51921"/>
    <w:rsid w:val="00D67B22"/>
    <w:rsid w:val="00D71B0E"/>
    <w:rsid w:val="00DC29D1"/>
    <w:rsid w:val="00DC4EAB"/>
    <w:rsid w:val="00E0326E"/>
    <w:rsid w:val="00E03997"/>
    <w:rsid w:val="00E508F3"/>
    <w:rsid w:val="00E64773"/>
    <w:rsid w:val="00E70F61"/>
    <w:rsid w:val="00E82F25"/>
    <w:rsid w:val="00F417B1"/>
    <w:rsid w:val="00F9021C"/>
    <w:rsid w:val="00FF69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9D22A8D"/>
  <w14:defaultImageDpi w14:val="300"/>
  <w15:docId w15:val="{0F7B6962-7A2F-46A3-807B-A3FE934F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9B29CA"/>
    <w:pPr>
      <w:keepNext/>
      <w:spacing w:line="480" w:lineRule="auto"/>
      <w:jc w:val="center"/>
      <w:outlineLvl w:val="0"/>
    </w:pPr>
    <w:rPr>
      <w:rFonts w:ascii="Arial" w:eastAsia="Times New Roman" w:hAnsi="Arial"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163C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CD3"/>
    <w:rPr>
      <w:rFonts w:ascii="Lucida Grande" w:hAnsi="Lucida Grande" w:cs="Lucida Grande"/>
      <w:sz w:val="18"/>
      <w:szCs w:val="18"/>
    </w:rPr>
  </w:style>
  <w:style w:type="character" w:customStyle="1" w:styleId="Heading1Char">
    <w:name w:val="Heading 1 Char"/>
    <w:basedOn w:val="DefaultParagraphFont"/>
    <w:link w:val="Heading1"/>
    <w:rsid w:val="009B29CA"/>
    <w:rPr>
      <w:rFonts w:ascii="Arial" w:eastAsia="Times New Roman" w:hAnsi="Arial" w:cs="Arial"/>
      <w:bCs/>
      <w:sz w:val="32"/>
      <w:szCs w:val="32"/>
    </w:rPr>
  </w:style>
  <w:style w:type="paragraph" w:customStyle="1" w:styleId="Default">
    <w:name w:val="Default"/>
    <w:rsid w:val="009B29CA"/>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99"/>
    <w:qFormat/>
    <w:rsid w:val="009B29CA"/>
    <w:rPr>
      <w:rFonts w:ascii="Times New Roman" w:eastAsia="Times New Roman" w:hAnsi="Times New Roman"/>
      <w:sz w:val="24"/>
      <w:szCs w:val="24"/>
    </w:rPr>
  </w:style>
  <w:style w:type="character" w:customStyle="1" w:styleId="NoSpacingChar">
    <w:name w:val="No Spacing Char"/>
    <w:link w:val="NoSpacing"/>
    <w:uiPriority w:val="99"/>
    <w:rsid w:val="009B29CA"/>
    <w:rPr>
      <w:rFonts w:ascii="Times New Roman" w:eastAsia="Times New Roman" w:hAnsi="Times New Roman"/>
      <w:sz w:val="24"/>
      <w:szCs w:val="24"/>
    </w:rPr>
  </w:style>
  <w:style w:type="character" w:customStyle="1" w:styleId="HeaderChar">
    <w:name w:val="Header Char"/>
    <w:basedOn w:val="DefaultParagraphFont"/>
    <w:link w:val="Header"/>
    <w:rsid w:val="00135ECE"/>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35899">
      <w:bodyDiv w:val="1"/>
      <w:marLeft w:val="0"/>
      <w:marRight w:val="0"/>
      <w:marTop w:val="0"/>
      <w:marBottom w:val="0"/>
      <w:divBdr>
        <w:top w:val="none" w:sz="0" w:space="0" w:color="auto"/>
        <w:left w:val="none" w:sz="0" w:space="0" w:color="auto"/>
        <w:bottom w:val="none" w:sz="0" w:space="0" w:color="auto"/>
        <w:right w:val="none" w:sz="0" w:space="0" w:color="auto"/>
      </w:divBdr>
    </w:div>
    <w:div w:id="647321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njms.rutgers.edu/gsbs/" TargetMode="External"/><Relationship Id="rId2" Type="http://schemas.openxmlformats.org/officeDocument/2006/relationships/hyperlink" Target="http://njms.rutgers.edu/gsbs/"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405</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2895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Lucy, Leslie</cp:lastModifiedBy>
  <cp:revision>3</cp:revision>
  <cp:lastPrinted>2018-06-15T14:23:00Z</cp:lastPrinted>
  <dcterms:created xsi:type="dcterms:W3CDTF">2018-06-15T14:12:00Z</dcterms:created>
  <dcterms:modified xsi:type="dcterms:W3CDTF">2018-06-15T14:37:00Z</dcterms:modified>
</cp:coreProperties>
</file>